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4923E721" w:rsidR="00977A42" w:rsidRDefault="004A06AE" w:rsidP="004A06AE">
      <w:pPr>
        <w:jc w:val="center"/>
      </w:pPr>
      <w:r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B31C" w14:textId="067F50DE" w:rsidR="004A06AE" w:rsidRDefault="00B72B77" w:rsidP="004A06A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Media Policy</w:t>
      </w:r>
    </w:p>
    <w:p w14:paraId="63499995" w14:textId="77777777" w:rsidR="008E50DA" w:rsidRPr="001566E3" w:rsidRDefault="008E50DA" w:rsidP="008E50DA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at least once a year.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1995CBE3" w14:textId="4CDA90F4" w:rsidR="008E50DA" w:rsidRPr="00D44D70" w:rsidRDefault="008E50DA" w:rsidP="008E50DA">
      <w:pPr>
        <w:tabs>
          <w:tab w:val="left" w:pos="3144"/>
        </w:tabs>
        <w:jc w:val="center"/>
        <w:rPr>
          <w:rFonts w:ascii="Arial" w:hAnsi="Arial" w:cs="Arial"/>
          <w:i/>
          <w:color w:val="FF0000"/>
        </w:rPr>
      </w:pPr>
      <w:r w:rsidRPr="00D44D70">
        <w:rPr>
          <w:rFonts w:ascii="Arial" w:hAnsi="Arial" w:cs="Arial"/>
          <w:color w:val="FF0000"/>
        </w:rPr>
        <w:t>Date of last review: 0</w:t>
      </w:r>
      <w:r>
        <w:rPr>
          <w:rFonts w:ascii="Arial" w:hAnsi="Arial" w:cs="Arial"/>
          <w:color w:val="FF0000"/>
        </w:rPr>
        <w:t>5</w:t>
      </w:r>
      <w:r w:rsidRPr="00D44D70">
        <w:rPr>
          <w:rFonts w:ascii="Arial" w:hAnsi="Arial" w:cs="Arial"/>
          <w:color w:val="FF0000"/>
        </w:rPr>
        <w:t>/</w:t>
      </w:r>
      <w:r w:rsidR="005808D7">
        <w:rPr>
          <w:rFonts w:ascii="Arial" w:hAnsi="Arial" w:cs="Arial"/>
          <w:color w:val="FF0000"/>
        </w:rPr>
        <w:t>10</w:t>
      </w:r>
      <w:r w:rsidRPr="00D44D70">
        <w:rPr>
          <w:rFonts w:ascii="Arial" w:hAnsi="Arial" w:cs="Arial"/>
          <w:color w:val="FF0000"/>
        </w:rPr>
        <w:t>/2021</w:t>
      </w:r>
    </w:p>
    <w:p w14:paraId="2382D85B" w14:textId="0FBAEACD" w:rsidR="00B72B77" w:rsidRDefault="00083F25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083F25">
        <w:rPr>
          <w:rFonts w:ascii="Arial" w:hAnsi="Arial" w:cs="Arial"/>
          <w:sz w:val="28"/>
          <w:szCs w:val="28"/>
        </w:rPr>
        <w:t>Contents</w:t>
      </w:r>
      <w:r w:rsidR="00B72B77">
        <w:rPr>
          <w:rFonts w:ascii="Arial" w:hAnsi="Arial" w:cs="Arial"/>
          <w:sz w:val="28"/>
          <w:szCs w:val="28"/>
        </w:rPr>
        <w:br/>
      </w:r>
      <w:hyperlink w:anchor="purpose" w:history="1">
        <w:r w:rsidR="00B72B77" w:rsidRPr="00B72B77">
          <w:rPr>
            <w:rStyle w:val="Hyperlink"/>
            <w:rFonts w:ascii="Arial" w:hAnsi="Arial" w:cs="Arial"/>
            <w:sz w:val="20"/>
            <w:szCs w:val="20"/>
          </w:rPr>
          <w:t>Purpose</w:t>
        </w:r>
      </w:hyperlink>
      <w:r w:rsidR="00B72B77">
        <w:rPr>
          <w:rFonts w:ascii="Arial" w:hAnsi="Arial" w:cs="Arial"/>
          <w:sz w:val="20"/>
          <w:szCs w:val="20"/>
        </w:rPr>
        <w:br/>
      </w:r>
      <w:hyperlink w:anchor="requirements" w:history="1">
        <w:r w:rsidR="00B72B77" w:rsidRPr="00B72B77">
          <w:rPr>
            <w:rStyle w:val="Hyperlink"/>
            <w:rFonts w:ascii="Arial" w:hAnsi="Arial" w:cs="Arial"/>
            <w:sz w:val="20"/>
            <w:szCs w:val="20"/>
          </w:rPr>
          <w:t>Requirements</w:t>
        </w:r>
      </w:hyperlink>
      <w:r w:rsidR="00B72B77">
        <w:rPr>
          <w:rFonts w:ascii="Arial" w:hAnsi="Arial" w:cs="Arial"/>
          <w:sz w:val="20"/>
          <w:szCs w:val="20"/>
        </w:rPr>
        <w:br/>
      </w:r>
      <w:bookmarkStart w:id="0" w:name="spokespeaople"/>
      <w:r w:rsidR="00B72B77">
        <w:rPr>
          <w:rFonts w:ascii="Arial" w:hAnsi="Arial" w:cs="Arial"/>
          <w:sz w:val="20"/>
          <w:szCs w:val="20"/>
        </w:rPr>
        <w:fldChar w:fldCharType="begin"/>
      </w:r>
      <w:r w:rsidR="00B72B77">
        <w:rPr>
          <w:rFonts w:ascii="Arial" w:hAnsi="Arial" w:cs="Arial"/>
          <w:sz w:val="20"/>
          <w:szCs w:val="20"/>
        </w:rPr>
        <w:instrText xml:space="preserve"> HYPERLINK  \l "spokespeaople" </w:instrText>
      </w:r>
      <w:r w:rsidR="00B72B77">
        <w:rPr>
          <w:rFonts w:ascii="Arial" w:hAnsi="Arial" w:cs="Arial"/>
          <w:sz w:val="20"/>
          <w:szCs w:val="20"/>
        </w:rPr>
        <w:fldChar w:fldCharType="separate"/>
      </w:r>
      <w:r w:rsidR="00B72B77" w:rsidRPr="00B72B77">
        <w:rPr>
          <w:rStyle w:val="Hyperlink"/>
          <w:rFonts w:ascii="Arial" w:hAnsi="Arial" w:cs="Arial"/>
          <w:sz w:val="20"/>
          <w:szCs w:val="20"/>
        </w:rPr>
        <w:t>Spokespeople</w:t>
      </w:r>
      <w:bookmarkEnd w:id="0"/>
      <w:r w:rsidR="00B72B77">
        <w:rPr>
          <w:rFonts w:ascii="Arial" w:hAnsi="Arial" w:cs="Arial"/>
          <w:sz w:val="20"/>
          <w:szCs w:val="20"/>
        </w:rPr>
        <w:fldChar w:fldCharType="end"/>
      </w:r>
      <w:r w:rsidR="00B72B77">
        <w:rPr>
          <w:rFonts w:ascii="Arial" w:hAnsi="Arial" w:cs="Arial"/>
          <w:sz w:val="20"/>
          <w:szCs w:val="20"/>
        </w:rPr>
        <w:br/>
      </w:r>
    </w:p>
    <w:p w14:paraId="055CD6EE" w14:textId="0A39AA64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color w:val="2F5496" w:themeColor="accent1" w:themeShade="BF"/>
          <w:sz w:val="20"/>
          <w:szCs w:val="20"/>
        </w:rPr>
      </w:pPr>
      <w:bookmarkStart w:id="1" w:name="purpose"/>
      <w:r w:rsidRPr="00B72B7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Purpose and scope</w:t>
      </w:r>
    </w:p>
    <w:bookmarkEnd w:id="1"/>
    <w:p w14:paraId="6397AB70" w14:textId="77777777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  <w:r w:rsidRPr="00B72B77">
        <w:rPr>
          <w:sz w:val="20"/>
          <w:szCs w:val="20"/>
        </w:rPr>
        <w:t>The purpose of this media protocol is to:</w:t>
      </w:r>
    </w:p>
    <w:p w14:paraId="44454D1B" w14:textId="34B9822F" w:rsid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  <w:r w:rsidRPr="00B72B77">
        <w:rPr>
          <w:sz w:val="20"/>
          <w:szCs w:val="20"/>
        </w:rPr>
        <w:t>This policy was developed in order to clarify responsibility and usual levels of involvement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in dealing with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 xml:space="preserve">media organisations – particularly where there are occasions affecting </w:t>
      </w:r>
      <w:r>
        <w:rPr>
          <w:sz w:val="20"/>
          <w:szCs w:val="20"/>
        </w:rPr>
        <w:t xml:space="preserve">NAPA’s </w:t>
      </w:r>
      <w:r w:rsidRPr="00B72B77">
        <w:rPr>
          <w:sz w:val="20"/>
          <w:szCs w:val="20"/>
        </w:rPr>
        <w:t>profile and reputation. It</w:t>
      </w:r>
      <w:r>
        <w:rPr>
          <w:sz w:val="20"/>
          <w:szCs w:val="20"/>
        </w:rPr>
        <w:br/>
      </w:r>
      <w:r w:rsidRPr="00B72B77">
        <w:rPr>
          <w:sz w:val="20"/>
          <w:szCs w:val="20"/>
        </w:rPr>
        <w:t>also clarifies responsibility and processes for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communicating via digital media and visual media.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B72B77">
        <w:rPr>
          <w:sz w:val="20"/>
          <w:szCs w:val="20"/>
        </w:rPr>
        <w:t>This document is intended for both staff and volunteers and the purpose is both to protect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the reputation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of the organisation and, more proactively, to promote a positive public image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of the organisation.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bookmarkStart w:id="2" w:name="requirements"/>
      <w:r w:rsidRPr="00B72B77">
        <w:rPr>
          <w:b/>
          <w:bCs/>
          <w:color w:val="2F5496" w:themeColor="accent1" w:themeShade="BF"/>
          <w:sz w:val="20"/>
          <w:szCs w:val="20"/>
        </w:rPr>
        <w:t>Requirements</w:t>
      </w:r>
      <w:bookmarkEnd w:id="2"/>
    </w:p>
    <w:p w14:paraId="7E6F59C9" w14:textId="77777777" w:rsid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sz w:val="20"/>
          <w:szCs w:val="20"/>
        </w:rPr>
      </w:pPr>
      <w:r>
        <w:rPr>
          <w:sz w:val="20"/>
          <w:szCs w:val="20"/>
        </w:rPr>
        <w:tab/>
      </w:r>
      <w:r w:rsidRPr="00B72B77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All enquiries or requests from the media must, in the first instance, be directed to the C</w:t>
      </w:r>
      <w:r>
        <w:rPr>
          <w:sz w:val="20"/>
          <w:szCs w:val="20"/>
        </w:rPr>
        <w:t>hief Executive</w:t>
      </w:r>
      <w:r w:rsidRPr="00B72B77">
        <w:rPr>
          <w:sz w:val="20"/>
          <w:szCs w:val="20"/>
        </w:rPr>
        <w:t>.</w:t>
      </w:r>
    </w:p>
    <w:p w14:paraId="48500B28" w14:textId="06301A58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sz w:val="20"/>
          <w:szCs w:val="20"/>
        </w:rPr>
      </w:pPr>
      <w:r w:rsidRPr="00B72B77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All news releases, statements, first person pieces, interviews, press briefings, visits and conferences should be issued and co-ordinated via the CEO and or his/her nominated representatives. Unless the employee/volunteer’s specific role includes talking to the press or media, then all requests and comments about NAPA should be made through the CEO or by their nominated representative.</w:t>
      </w:r>
    </w:p>
    <w:p w14:paraId="41C8C769" w14:textId="5A3FDD35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sz w:val="20"/>
          <w:szCs w:val="20"/>
        </w:rPr>
      </w:pPr>
      <w:r>
        <w:rPr>
          <w:sz w:val="20"/>
          <w:szCs w:val="20"/>
        </w:rPr>
        <w:tab/>
      </w:r>
      <w:r w:rsidRPr="00B72B77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NAPA will approve all quotes and statements attributed to them. The CEO will have final sign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off on any news releases and statements before issue or publication.</w:t>
      </w:r>
    </w:p>
    <w:p w14:paraId="5336B729" w14:textId="77777777" w:rsid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sz w:val="20"/>
          <w:szCs w:val="20"/>
        </w:rPr>
      </w:pPr>
      <w:r>
        <w:rPr>
          <w:sz w:val="20"/>
          <w:szCs w:val="20"/>
        </w:rPr>
        <w:tab/>
      </w:r>
      <w:r w:rsidRPr="00B72B77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No member of staff or volunteer at NAPA should give direct comments to the media about the charity without the organisation’s explicit consent.</w:t>
      </w:r>
    </w:p>
    <w:p w14:paraId="4029ED44" w14:textId="4D5B2296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sz w:val="20"/>
          <w:szCs w:val="20"/>
        </w:rPr>
      </w:pPr>
      <w:r w:rsidRPr="00B72B77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The NAPA trustees will consider, approve and monitor the delivery of the plans for PR and Media as part of an overall Marketing and Communications Strategy.</w:t>
      </w:r>
    </w:p>
    <w:p w14:paraId="23802AAA" w14:textId="06FE0EE5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b/>
          <w:bCs/>
          <w:color w:val="2F5496" w:themeColor="accent1" w:themeShade="BF"/>
          <w:sz w:val="20"/>
          <w:szCs w:val="20"/>
        </w:rPr>
      </w:pPr>
      <w:r w:rsidRPr="00B72B77">
        <w:rPr>
          <w:b/>
          <w:bCs/>
          <w:color w:val="2F5496" w:themeColor="accent1" w:themeShade="BF"/>
          <w:sz w:val="20"/>
          <w:szCs w:val="20"/>
        </w:rPr>
        <w:t>Spokespe</w:t>
      </w:r>
      <w:r>
        <w:rPr>
          <w:b/>
          <w:bCs/>
          <w:color w:val="2F5496" w:themeColor="accent1" w:themeShade="BF"/>
          <w:sz w:val="20"/>
          <w:szCs w:val="20"/>
        </w:rPr>
        <w:t>ople</w:t>
      </w:r>
    </w:p>
    <w:p w14:paraId="06F170E3" w14:textId="78DF8394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  <w:r>
        <w:rPr>
          <w:sz w:val="20"/>
          <w:szCs w:val="20"/>
        </w:rPr>
        <w:tab/>
      </w:r>
      <w:r w:rsidRPr="00B72B77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>The Chair &amp; Chief Executive will act as the key spokespeople for NAPA.  This will involve having statements attributed to them</w:t>
      </w:r>
      <w:r>
        <w:rPr>
          <w:sz w:val="20"/>
          <w:szCs w:val="20"/>
        </w:rPr>
        <w:t xml:space="preserve">, </w:t>
      </w:r>
      <w:r w:rsidRPr="00B72B77">
        <w:rPr>
          <w:sz w:val="20"/>
          <w:szCs w:val="20"/>
        </w:rPr>
        <w:t>undertaking media interviews and press briefings</w:t>
      </w:r>
      <w:r>
        <w:rPr>
          <w:sz w:val="20"/>
          <w:szCs w:val="20"/>
        </w:rPr>
        <w:t>,</w:t>
      </w:r>
      <w:r w:rsidRPr="00B72B77">
        <w:rPr>
          <w:sz w:val="20"/>
          <w:szCs w:val="20"/>
        </w:rPr>
        <w:t xml:space="preserve"> taking part in media calls and conferences</w:t>
      </w:r>
      <w:r>
        <w:rPr>
          <w:sz w:val="20"/>
          <w:szCs w:val="20"/>
        </w:rPr>
        <w:t xml:space="preserve">, </w:t>
      </w:r>
      <w:r w:rsidRPr="00B72B77">
        <w:rPr>
          <w:sz w:val="20"/>
          <w:szCs w:val="20"/>
        </w:rPr>
        <w:t>writing features and first-person pieces.</w:t>
      </w:r>
    </w:p>
    <w:p w14:paraId="77845F9F" w14:textId="7AA01443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  <w:r>
        <w:rPr>
          <w:sz w:val="20"/>
          <w:szCs w:val="20"/>
        </w:rPr>
        <w:tab/>
      </w:r>
      <w:r w:rsidRPr="00B72B77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 xml:space="preserve">From time to time, individual Trustees of NAPA may also be asked to take part in planned PR and media opportunities.  </w:t>
      </w:r>
    </w:p>
    <w:p w14:paraId="2C554894" w14:textId="77777777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</w:p>
    <w:p w14:paraId="5ECE2C4E" w14:textId="77777777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</w:p>
    <w:p w14:paraId="2686A4AC" w14:textId="77777777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</w:p>
    <w:p w14:paraId="16682963" w14:textId="77777777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</w:p>
    <w:p w14:paraId="350878B5" w14:textId="77777777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sz w:val="20"/>
          <w:szCs w:val="20"/>
        </w:rPr>
      </w:pPr>
    </w:p>
    <w:p w14:paraId="014DDC90" w14:textId="2F50BDE8" w:rsidR="00B72B77" w:rsidRPr="00B72B77" w:rsidRDefault="00B72B77" w:rsidP="00B72B77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sz w:val="20"/>
          <w:szCs w:val="20"/>
        </w:rPr>
      </w:pPr>
      <w:r>
        <w:rPr>
          <w:sz w:val="20"/>
          <w:szCs w:val="20"/>
        </w:rPr>
        <w:tab/>
      </w:r>
      <w:r w:rsidRPr="00B72B77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72B77">
        <w:rPr>
          <w:sz w:val="20"/>
          <w:szCs w:val="20"/>
        </w:rPr>
        <w:t xml:space="preserve">Other members of staff and members of sub-boards must not act as spokespeople for NAPA unless the CEO has authorised them to speak on a particular issue. In such cases the CEO will consider and agree who is the most appropriate spokesperson, taking into account the nature of the enquiry or media activity.  </w:t>
      </w:r>
    </w:p>
    <w:p w14:paraId="492A4264" w14:textId="77777777" w:rsidR="00313EEB" w:rsidRPr="00157846" w:rsidRDefault="00313EEB" w:rsidP="00083F25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sectPr w:rsidR="00313EEB" w:rsidRPr="001578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997B" w14:textId="77777777" w:rsidR="003A39A8" w:rsidRDefault="00092587">
      <w:pPr>
        <w:spacing w:after="0" w:line="240" w:lineRule="auto"/>
      </w:pPr>
      <w:r>
        <w:separator/>
      </w:r>
    </w:p>
  </w:endnote>
  <w:endnote w:type="continuationSeparator" w:id="0">
    <w:p w14:paraId="127A3E83" w14:textId="77777777" w:rsidR="003A39A8" w:rsidRDefault="0009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5AA5" w14:textId="229857BE" w:rsidR="00BB3669" w:rsidRDefault="005808D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758D" w14:textId="77777777" w:rsidR="003A39A8" w:rsidRDefault="00092587">
      <w:pPr>
        <w:spacing w:after="0" w:line="240" w:lineRule="auto"/>
      </w:pPr>
      <w:r>
        <w:separator/>
      </w:r>
    </w:p>
  </w:footnote>
  <w:footnote w:type="continuationSeparator" w:id="0">
    <w:p w14:paraId="5B2D00FB" w14:textId="77777777" w:rsidR="003A39A8" w:rsidRDefault="0009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758F" w14:textId="4F1F6726" w:rsidR="00BB3669" w:rsidRDefault="005808D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EC5"/>
    <w:multiLevelType w:val="hybridMultilevel"/>
    <w:tmpl w:val="841A4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6F6B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7E185D"/>
    <w:multiLevelType w:val="hybridMultilevel"/>
    <w:tmpl w:val="DC2C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10042"/>
    <w:multiLevelType w:val="hybridMultilevel"/>
    <w:tmpl w:val="3EA8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B4A6A"/>
    <w:multiLevelType w:val="hybridMultilevel"/>
    <w:tmpl w:val="AE98979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75D86"/>
    <w:multiLevelType w:val="hybridMultilevel"/>
    <w:tmpl w:val="60F409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77F3F"/>
    <w:multiLevelType w:val="multilevel"/>
    <w:tmpl w:val="F574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71F22"/>
    <w:multiLevelType w:val="hybridMultilevel"/>
    <w:tmpl w:val="ACC0E17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A2C0F6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53076"/>
    <w:multiLevelType w:val="multilevel"/>
    <w:tmpl w:val="BFD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F251F"/>
    <w:multiLevelType w:val="multilevel"/>
    <w:tmpl w:val="8FC0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B51D29"/>
    <w:multiLevelType w:val="hybridMultilevel"/>
    <w:tmpl w:val="B2C4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67439"/>
    <w:multiLevelType w:val="hybridMultilevel"/>
    <w:tmpl w:val="F0C0972A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53825"/>
    <w:multiLevelType w:val="hybridMultilevel"/>
    <w:tmpl w:val="21F2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C7B56"/>
    <w:multiLevelType w:val="hybridMultilevel"/>
    <w:tmpl w:val="E384D88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299745DE"/>
    <w:multiLevelType w:val="hybridMultilevel"/>
    <w:tmpl w:val="3BB2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937B7"/>
    <w:multiLevelType w:val="hybridMultilevel"/>
    <w:tmpl w:val="C8CCD3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0F07D9"/>
    <w:multiLevelType w:val="hybridMultilevel"/>
    <w:tmpl w:val="F0A48C1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B51815"/>
    <w:multiLevelType w:val="hybridMultilevel"/>
    <w:tmpl w:val="164CC2A0"/>
    <w:lvl w:ilvl="0" w:tplc="014AD7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53674D"/>
    <w:multiLevelType w:val="hybridMultilevel"/>
    <w:tmpl w:val="9F1474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9E645D"/>
    <w:multiLevelType w:val="hybridMultilevel"/>
    <w:tmpl w:val="1F6E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312A7"/>
    <w:multiLevelType w:val="hybridMultilevel"/>
    <w:tmpl w:val="816692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1F0B4A"/>
    <w:multiLevelType w:val="hybridMultilevel"/>
    <w:tmpl w:val="8ACE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F4C"/>
    <w:multiLevelType w:val="multilevel"/>
    <w:tmpl w:val="22568936"/>
    <w:name w:val="sch_style1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4A0F62B6"/>
    <w:multiLevelType w:val="multilevel"/>
    <w:tmpl w:val="5388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C7339E"/>
    <w:multiLevelType w:val="hybridMultilevel"/>
    <w:tmpl w:val="DC74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0D57"/>
    <w:multiLevelType w:val="hybridMultilevel"/>
    <w:tmpl w:val="D068DE30"/>
    <w:lvl w:ilvl="0" w:tplc="0809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abstractNum w:abstractNumId="26" w15:restartNumberingAfterBreak="0">
    <w:nsid w:val="5192079F"/>
    <w:multiLevelType w:val="multilevel"/>
    <w:tmpl w:val="FCA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987FBA"/>
    <w:multiLevelType w:val="hybridMultilevel"/>
    <w:tmpl w:val="A936FB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3A0FF3"/>
    <w:multiLevelType w:val="hybridMultilevel"/>
    <w:tmpl w:val="0538956C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BF2AD2"/>
    <w:multiLevelType w:val="hybridMultilevel"/>
    <w:tmpl w:val="FAA2D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87E7D"/>
    <w:multiLevelType w:val="hybridMultilevel"/>
    <w:tmpl w:val="AD4AA4E4"/>
    <w:lvl w:ilvl="0" w:tplc="4FB655C8">
      <w:numFmt w:val="bullet"/>
      <w:lvlText w:val="•"/>
      <w:lvlJc w:val="left"/>
      <w:pPr>
        <w:ind w:left="762" w:hanging="360"/>
      </w:pPr>
      <w:rPr>
        <w:rFonts w:ascii="Arial" w:eastAsia="Arial" w:hAnsi="Arial" w:cs="Arial" w:hint="default"/>
        <w:w w:val="131"/>
        <w:sz w:val="18"/>
        <w:szCs w:val="18"/>
        <w:lang w:val="en-GB" w:eastAsia="en-US" w:bidi="ar-SA"/>
      </w:rPr>
    </w:lvl>
    <w:lvl w:ilvl="1" w:tplc="73DAD630">
      <w:numFmt w:val="bullet"/>
      <w:lvlText w:val="•"/>
      <w:lvlJc w:val="left"/>
      <w:pPr>
        <w:ind w:left="1538" w:hanging="360"/>
      </w:pPr>
      <w:rPr>
        <w:rFonts w:hint="default"/>
        <w:lang w:val="en-GB" w:eastAsia="en-US" w:bidi="ar-SA"/>
      </w:rPr>
    </w:lvl>
    <w:lvl w:ilvl="2" w:tplc="98E04DDC">
      <w:numFmt w:val="bullet"/>
      <w:lvlText w:val="•"/>
      <w:lvlJc w:val="left"/>
      <w:pPr>
        <w:ind w:left="2317" w:hanging="360"/>
      </w:pPr>
      <w:rPr>
        <w:rFonts w:hint="default"/>
        <w:lang w:val="en-GB" w:eastAsia="en-US" w:bidi="ar-SA"/>
      </w:rPr>
    </w:lvl>
    <w:lvl w:ilvl="3" w:tplc="7BE44CBE">
      <w:numFmt w:val="bullet"/>
      <w:lvlText w:val="•"/>
      <w:lvlJc w:val="left"/>
      <w:pPr>
        <w:ind w:left="3095" w:hanging="360"/>
      </w:pPr>
      <w:rPr>
        <w:rFonts w:hint="default"/>
        <w:lang w:val="en-GB" w:eastAsia="en-US" w:bidi="ar-SA"/>
      </w:rPr>
    </w:lvl>
    <w:lvl w:ilvl="4" w:tplc="687CBDB4">
      <w:numFmt w:val="bullet"/>
      <w:lvlText w:val="•"/>
      <w:lvlJc w:val="left"/>
      <w:pPr>
        <w:ind w:left="3874" w:hanging="360"/>
      </w:pPr>
      <w:rPr>
        <w:rFonts w:hint="default"/>
        <w:lang w:val="en-GB" w:eastAsia="en-US" w:bidi="ar-SA"/>
      </w:rPr>
    </w:lvl>
    <w:lvl w:ilvl="5" w:tplc="5DFCF1B2">
      <w:numFmt w:val="bullet"/>
      <w:lvlText w:val="•"/>
      <w:lvlJc w:val="left"/>
      <w:pPr>
        <w:ind w:left="4653" w:hanging="360"/>
      </w:pPr>
      <w:rPr>
        <w:rFonts w:hint="default"/>
        <w:lang w:val="en-GB" w:eastAsia="en-US" w:bidi="ar-SA"/>
      </w:rPr>
    </w:lvl>
    <w:lvl w:ilvl="6" w:tplc="EA508E52">
      <w:numFmt w:val="bullet"/>
      <w:lvlText w:val="•"/>
      <w:lvlJc w:val="left"/>
      <w:pPr>
        <w:ind w:left="5431" w:hanging="360"/>
      </w:pPr>
      <w:rPr>
        <w:rFonts w:hint="default"/>
        <w:lang w:val="en-GB" w:eastAsia="en-US" w:bidi="ar-SA"/>
      </w:rPr>
    </w:lvl>
    <w:lvl w:ilvl="7" w:tplc="8A789B32">
      <w:numFmt w:val="bullet"/>
      <w:lvlText w:val="•"/>
      <w:lvlJc w:val="left"/>
      <w:pPr>
        <w:ind w:left="6210" w:hanging="360"/>
      </w:pPr>
      <w:rPr>
        <w:rFonts w:hint="default"/>
        <w:lang w:val="en-GB" w:eastAsia="en-US" w:bidi="ar-SA"/>
      </w:rPr>
    </w:lvl>
    <w:lvl w:ilvl="8" w:tplc="5F7E02C0">
      <w:numFmt w:val="bullet"/>
      <w:lvlText w:val="•"/>
      <w:lvlJc w:val="left"/>
      <w:pPr>
        <w:ind w:left="6989" w:hanging="360"/>
      </w:pPr>
      <w:rPr>
        <w:rFonts w:hint="default"/>
        <w:lang w:val="en-GB" w:eastAsia="en-US" w:bidi="ar-SA"/>
      </w:rPr>
    </w:lvl>
  </w:abstractNum>
  <w:abstractNum w:abstractNumId="31" w15:restartNumberingAfterBreak="0">
    <w:nsid w:val="5CFF7162"/>
    <w:multiLevelType w:val="multilevel"/>
    <w:tmpl w:val="3D9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747B78"/>
    <w:multiLevelType w:val="hybridMultilevel"/>
    <w:tmpl w:val="DF6E27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7E2C05"/>
    <w:multiLevelType w:val="hybridMultilevel"/>
    <w:tmpl w:val="FBB046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EF1324"/>
    <w:multiLevelType w:val="hybridMultilevel"/>
    <w:tmpl w:val="ECFAF066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74251"/>
    <w:multiLevelType w:val="hybridMultilevel"/>
    <w:tmpl w:val="C99CFB28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8240E2"/>
    <w:multiLevelType w:val="hybridMultilevel"/>
    <w:tmpl w:val="C15C8E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0F6EA6"/>
    <w:multiLevelType w:val="multilevel"/>
    <w:tmpl w:val="2FCE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A04AA"/>
    <w:multiLevelType w:val="hybridMultilevel"/>
    <w:tmpl w:val="1B388BDC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F06E47"/>
    <w:multiLevelType w:val="hybridMultilevel"/>
    <w:tmpl w:val="ACCA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F4ED9"/>
    <w:multiLevelType w:val="hybridMultilevel"/>
    <w:tmpl w:val="1F4E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E7636"/>
    <w:multiLevelType w:val="hybridMultilevel"/>
    <w:tmpl w:val="6E0A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E24F0"/>
    <w:multiLevelType w:val="hybridMultilevel"/>
    <w:tmpl w:val="5038E2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30"/>
  </w:num>
  <w:num w:numId="4">
    <w:abstractNumId w:val="37"/>
  </w:num>
  <w:num w:numId="5">
    <w:abstractNumId w:val="26"/>
  </w:num>
  <w:num w:numId="6">
    <w:abstractNumId w:val="12"/>
  </w:num>
  <w:num w:numId="7">
    <w:abstractNumId w:val="9"/>
  </w:num>
  <w:num w:numId="8">
    <w:abstractNumId w:val="41"/>
  </w:num>
  <w:num w:numId="9">
    <w:abstractNumId w:val="42"/>
  </w:num>
  <w:num w:numId="10">
    <w:abstractNumId w:val="25"/>
  </w:num>
  <w:num w:numId="11">
    <w:abstractNumId w:val="6"/>
  </w:num>
  <w:num w:numId="12">
    <w:abstractNumId w:val="17"/>
  </w:num>
  <w:num w:numId="13">
    <w:abstractNumId w:val="16"/>
  </w:num>
  <w:num w:numId="14">
    <w:abstractNumId w:val="32"/>
  </w:num>
  <w:num w:numId="15">
    <w:abstractNumId w:val="4"/>
  </w:num>
  <w:num w:numId="16">
    <w:abstractNumId w:val="36"/>
  </w:num>
  <w:num w:numId="17">
    <w:abstractNumId w:val="20"/>
  </w:num>
  <w:num w:numId="18">
    <w:abstractNumId w:val="3"/>
  </w:num>
  <w:num w:numId="19">
    <w:abstractNumId w:val="18"/>
  </w:num>
  <w:num w:numId="20">
    <w:abstractNumId w:val="11"/>
  </w:num>
  <w:num w:numId="21">
    <w:abstractNumId w:val="35"/>
  </w:num>
  <w:num w:numId="22">
    <w:abstractNumId w:val="38"/>
  </w:num>
  <w:num w:numId="23">
    <w:abstractNumId w:val="0"/>
  </w:num>
  <w:num w:numId="24">
    <w:abstractNumId w:val="21"/>
  </w:num>
  <w:num w:numId="25">
    <w:abstractNumId w:val="28"/>
  </w:num>
  <w:num w:numId="26">
    <w:abstractNumId w:val="34"/>
  </w:num>
  <w:num w:numId="27">
    <w:abstractNumId w:val="5"/>
  </w:num>
  <w:num w:numId="28">
    <w:abstractNumId w:val="7"/>
  </w:num>
  <w:num w:numId="29">
    <w:abstractNumId w:val="8"/>
  </w:num>
  <w:num w:numId="30">
    <w:abstractNumId w:val="31"/>
  </w:num>
  <w:num w:numId="31">
    <w:abstractNumId w:val="23"/>
  </w:num>
  <w:num w:numId="32">
    <w:abstractNumId w:val="19"/>
  </w:num>
  <w:num w:numId="33">
    <w:abstractNumId w:val="14"/>
  </w:num>
  <w:num w:numId="34">
    <w:abstractNumId w:val="15"/>
  </w:num>
  <w:num w:numId="35">
    <w:abstractNumId w:val="2"/>
  </w:num>
  <w:num w:numId="36">
    <w:abstractNumId w:val="27"/>
  </w:num>
  <w:num w:numId="37">
    <w:abstractNumId w:val="29"/>
  </w:num>
  <w:num w:numId="38">
    <w:abstractNumId w:val="33"/>
  </w:num>
  <w:num w:numId="39">
    <w:abstractNumId w:val="22"/>
  </w:num>
  <w:num w:numId="40">
    <w:abstractNumId w:val="22"/>
    <w:lvlOverride w:ilvl="0">
      <w:startOverride w:val="1"/>
    </w:lvlOverride>
  </w:num>
  <w:num w:numId="41">
    <w:abstractNumId w:val="40"/>
  </w:num>
  <w:num w:numId="42">
    <w:abstractNumId w:val="39"/>
  </w:num>
  <w:num w:numId="43">
    <w:abstractNumId w:val="13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006C55"/>
    <w:rsid w:val="00083F25"/>
    <w:rsid w:val="00092587"/>
    <w:rsid w:val="00157846"/>
    <w:rsid w:val="002D1C9A"/>
    <w:rsid w:val="00313EEB"/>
    <w:rsid w:val="00315667"/>
    <w:rsid w:val="003A39A8"/>
    <w:rsid w:val="00465C47"/>
    <w:rsid w:val="004A06AE"/>
    <w:rsid w:val="005808D7"/>
    <w:rsid w:val="00585D97"/>
    <w:rsid w:val="005B36D2"/>
    <w:rsid w:val="005E41F9"/>
    <w:rsid w:val="00624F61"/>
    <w:rsid w:val="006D6773"/>
    <w:rsid w:val="00734149"/>
    <w:rsid w:val="007A12F4"/>
    <w:rsid w:val="007C17D7"/>
    <w:rsid w:val="00841287"/>
    <w:rsid w:val="00867AB2"/>
    <w:rsid w:val="008E50DA"/>
    <w:rsid w:val="00966AF5"/>
    <w:rsid w:val="00977A42"/>
    <w:rsid w:val="00A3668A"/>
    <w:rsid w:val="00B72B77"/>
    <w:rsid w:val="00DA6E26"/>
    <w:rsid w:val="00DE03CA"/>
    <w:rsid w:val="00F40EE5"/>
    <w:rsid w:val="00F432E7"/>
    <w:rsid w:val="00F60BDA"/>
    <w:rsid w:val="00F6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1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A6E2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D67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D6773"/>
    <w:rPr>
      <w:rFonts w:ascii="Arial" w:eastAsia="Arial" w:hAnsi="Arial" w:cs="Arial"/>
    </w:rPr>
  </w:style>
  <w:style w:type="paragraph" w:customStyle="1" w:styleId="Sch1stylesubclause">
    <w:name w:val="Sch  (1style) sub clause"/>
    <w:basedOn w:val="Normal"/>
    <w:rsid w:val="00157846"/>
    <w:pPr>
      <w:numPr>
        <w:ilvl w:val="1"/>
        <w:numId w:val="39"/>
      </w:numP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Sch1stylepara">
    <w:name w:val="Sch (1style) para"/>
    <w:basedOn w:val="Normal"/>
    <w:rsid w:val="00157846"/>
    <w:pPr>
      <w:numPr>
        <w:ilvl w:val="2"/>
        <w:numId w:val="39"/>
      </w:numPr>
      <w:spacing w:after="12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1stylesubpara">
    <w:name w:val="Sch (1style) sub para"/>
    <w:basedOn w:val="Heading4"/>
    <w:rsid w:val="00157846"/>
    <w:pPr>
      <w:keepNext w:val="0"/>
      <w:keepLines w:val="0"/>
      <w:numPr>
        <w:ilvl w:val="3"/>
        <w:numId w:val="39"/>
      </w:numPr>
      <w:tabs>
        <w:tab w:val="clear" w:pos="2421"/>
        <w:tab w:val="num" w:pos="360"/>
        <w:tab w:val="left" w:pos="2261"/>
        <w:tab w:val="num" w:pos="2520"/>
      </w:tabs>
      <w:spacing w:before="0" w:after="120" w:line="300" w:lineRule="atLeast"/>
      <w:ind w:left="5400" w:hanging="36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</w:rPr>
  </w:style>
  <w:style w:type="paragraph" w:customStyle="1" w:styleId="Style2">
    <w:name w:val="Style2"/>
    <w:basedOn w:val="Normal"/>
    <w:qFormat/>
    <w:rsid w:val="00157846"/>
    <w:pPr>
      <w:numPr>
        <w:numId w:val="39"/>
      </w:numPr>
      <w:tabs>
        <w:tab w:val="clear" w:pos="720"/>
        <w:tab w:val="num" w:pos="360"/>
      </w:tabs>
      <w:spacing w:before="320" w:after="0" w:line="300" w:lineRule="atLeast"/>
      <w:ind w:left="3240" w:hanging="360"/>
      <w:jc w:val="both"/>
      <w:outlineLvl w:val="0"/>
    </w:pPr>
    <w:rPr>
      <w:rFonts w:ascii="Arial" w:eastAsia="Times New Roman" w:hAnsi="Arial" w:cs="Arial"/>
      <w:b/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84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3</cp:revision>
  <dcterms:created xsi:type="dcterms:W3CDTF">2021-04-05T15:50:00Z</dcterms:created>
  <dcterms:modified xsi:type="dcterms:W3CDTF">2022-03-17T09:22:00Z</dcterms:modified>
</cp:coreProperties>
</file>